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F0" w:rsidRDefault="00A941F0" w:rsidP="007A1FD0">
      <w:pPr>
        <w:jc w:val="both"/>
        <w:rPr>
          <w:rFonts w:ascii="Lucida Calligraphy" w:hAnsi="Lucida Calligraphy"/>
        </w:rPr>
      </w:pPr>
      <w:r w:rsidRPr="00A941F0">
        <w:rPr>
          <w:rFonts w:ascii="Lucida Calligraphy" w:hAnsi="Lucida Calligraphy"/>
          <w:sz w:val="40"/>
          <w:szCs w:val="40"/>
        </w:rPr>
        <w:t>BANDEC</w:t>
      </w:r>
      <w:r w:rsidRPr="00A941F0">
        <w:rPr>
          <w:rFonts w:ascii="Lucida Calligraphy" w:hAnsi="Lucida Calligraphy"/>
        </w:rPr>
        <w:t xml:space="preserve"> le ofrece un nuevo servicio de 24 horas que optimiza su tiempo y agiliza sus operaciones</w:t>
      </w:r>
      <w:r w:rsidR="007A1FD0">
        <w:rPr>
          <w:rFonts w:ascii="Lucida Calligraphy" w:hAnsi="Lucida Calligraphy"/>
        </w:rPr>
        <w:t>.</w:t>
      </w:r>
    </w:p>
    <w:p w:rsidR="005A7D93" w:rsidRDefault="007A1FD0" w:rsidP="00801CB6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14605</wp:posOffset>
            </wp:positionV>
            <wp:extent cx="2447925" cy="2085975"/>
            <wp:effectExtent l="0" t="0" r="0" b="0"/>
            <wp:wrapThrough wrapText="bothSides">
              <wp:wrapPolygon edited="0">
                <wp:start x="11094" y="0"/>
                <wp:lineTo x="3362" y="2959"/>
                <wp:lineTo x="2353" y="4340"/>
                <wp:lineTo x="2353" y="9468"/>
                <wp:lineTo x="1513" y="12625"/>
                <wp:lineTo x="0" y="15781"/>
                <wp:lineTo x="0" y="16964"/>
                <wp:lineTo x="1009" y="18937"/>
                <wp:lineTo x="1009" y="20121"/>
                <wp:lineTo x="8405" y="20910"/>
                <wp:lineTo x="17650" y="20910"/>
                <wp:lineTo x="21180" y="20910"/>
                <wp:lineTo x="21516" y="19726"/>
                <wp:lineTo x="19667" y="18937"/>
                <wp:lineTo x="21516" y="18542"/>
                <wp:lineTo x="20003" y="12625"/>
                <wp:lineTo x="19835" y="4340"/>
                <wp:lineTo x="18490" y="3353"/>
                <wp:lineTo x="14792" y="3156"/>
                <wp:lineTo x="11935" y="0"/>
                <wp:lineTo x="11094" y="0"/>
              </wp:wrapPolygon>
            </wp:wrapThrough>
            <wp:docPr id="1" name="Objeto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5153319"/>
                      <a:chOff x="0" y="1432224"/>
                      <a:chExt cx="9144000" cy="5153319"/>
                    </a:xfrm>
                  </a:grpSpPr>
                  <a:sp>
                    <a:nvSpPr>
                      <a:cNvPr id="27" name="Isosceles Triangle 26"/>
                      <a:cNvSpPr/>
                    </a:nvSpPr>
                    <a:spPr>
                      <a:xfrm rot="6967121">
                        <a:off x="5927801" y="1319651"/>
                        <a:ext cx="614276" cy="2396031"/>
                      </a:xfrm>
                      <a:prstGeom prst="triangle">
                        <a:avLst>
                          <a:gd name="adj" fmla="val 21133"/>
                        </a:avLst>
                      </a:prstGeom>
                      <a:ln/>
                    </a:spPr>
                    <a:txSp>
                      <a:txBody>
                        <a:bodyPr rtlCol="0" anchor="ctr"/>
                        <a:lstStyle>
                          <a:defPPr>
                            <a:defRPr lang="es-E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s-ES_tradnl" sz="1350" dirty="0"/>
                        </a:p>
                      </a:txBody>
                      <a:useSpRect/>
                    </a:txSp>
                    <a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4" name="Isosceles Triangle 3"/>
                      <a:cNvSpPr/>
                    </a:nvSpPr>
                    <a:spPr>
                      <a:xfrm rot="9825449">
                        <a:off x="7945292" y="3261824"/>
                        <a:ext cx="649562" cy="1954526"/>
                      </a:xfrm>
                      <a:prstGeom prst="triangle">
                        <a:avLst/>
                      </a:prstGeom>
                      <a:gradFill flip="none" rotWithShape="1">
                        <a:gsLst>
                          <a:gs pos="0">
                            <a:srgbClr val="7030A0">
                              <a:tint val="66000"/>
                              <a:satMod val="160000"/>
                            </a:srgbClr>
                          </a:gs>
                          <a:gs pos="50000">
                            <a:srgbClr val="7030A0">
                              <a:tint val="44500"/>
                              <a:satMod val="160000"/>
                            </a:srgbClr>
                          </a:gs>
                          <a:gs pos="100000">
                            <a:srgbClr val="7030A0">
                              <a:tint val="23500"/>
                              <a:satMod val="160000"/>
                            </a:srgbClr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s-E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s-ES_tradnl" sz="1350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" name="Isosceles Triangle 4"/>
                      <a:cNvSpPr/>
                    </a:nvSpPr>
                    <a:spPr>
                      <a:xfrm rot="11700000">
                        <a:off x="1188846" y="3607650"/>
                        <a:ext cx="467922" cy="1323895"/>
                      </a:xfrm>
                      <a:prstGeom prst="triangle">
                        <a:avLst>
                          <a:gd name="adj" fmla="val 0"/>
                        </a:avLst>
                      </a:prstGeom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s-E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s-ES_tradnl" sz="1350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" name="Isosceles Triangle 5"/>
                      <a:cNvSpPr/>
                    </a:nvSpPr>
                    <a:spPr>
                      <a:xfrm rot="13289762">
                        <a:off x="760786" y="3266182"/>
                        <a:ext cx="649562" cy="1677346"/>
                      </a:xfrm>
                      <a:prstGeom prst="triangle">
                        <a:avLst>
                          <a:gd name="adj" fmla="val 17844"/>
                        </a:avLst>
                      </a:prstGeom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s-E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s-ES_tradnl" sz="1350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" name="Isosceles Triangle 9"/>
                      <a:cNvSpPr/>
                    </a:nvSpPr>
                    <a:spPr>
                      <a:xfrm rot="15521857">
                        <a:off x="2963346" y="1094964"/>
                        <a:ext cx="614276" cy="2467977"/>
                      </a:xfrm>
                      <a:prstGeom prst="triangle">
                        <a:avLst>
                          <a:gd name="adj" fmla="val 29789"/>
                        </a:avLst>
                      </a:prstGeom>
                      <a:ln/>
                    </a:spPr>
                    <a:txSp>
                      <a:txBody>
                        <a:bodyPr rtlCol="0" anchor="ctr"/>
                        <a:lstStyle>
                          <a:defPPr>
                            <a:defRPr lang="es-E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s-ES_tradnl" sz="1350" dirty="0"/>
                        </a:p>
                      </a:txBody>
                      <a:useSpRect/>
                    </a:txSp>
                    <a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a:style>
                  </a:sp>
                  <a:pic>
                    <a:nvPicPr>
                      <a:cNvPr id="17" name="Picture 16"/>
                      <a:cNvPicPr>
                        <a:picLocks noChangeAspect="1"/>
                      </a:cNvPicPr>
                    </a:nvPicPr>
                    <a:blipFill>
                      <a:blip r:embed="rId5"/>
                      <a:stretch>
                        <a:fillRect/>
                      </a:stretch>
                    </a:blipFill>
                    <a:spPr>
                      <a:xfrm>
                        <a:off x="4401232" y="1432224"/>
                        <a:ext cx="950259" cy="1336815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18" name="Picture 17"/>
                      <a:cNvPicPr>
                        <a:picLocks noChangeAspect="1"/>
                      </a:cNvPicPr>
                    </a:nvPicPr>
                    <a:blipFill>
                      <a:blip r:embed="rId6"/>
                      <a:stretch>
                        <a:fillRect/>
                      </a:stretch>
                    </a:blipFill>
                    <a:spPr>
                      <a:xfrm>
                        <a:off x="0" y="4857759"/>
                        <a:ext cx="806030" cy="780926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20" name="Picture 19"/>
                      <a:cNvPicPr>
                        <a:picLocks noChangeAspect="1"/>
                      </a:cNvPicPr>
                    </a:nvPicPr>
                    <a:blipFill>
                      <a:blip r:embed="rId6"/>
                      <a:stretch>
                        <a:fillRect/>
                      </a:stretch>
                    </a:blipFill>
                    <a:spPr>
                      <a:xfrm>
                        <a:off x="928662" y="4951357"/>
                        <a:ext cx="806030" cy="780926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21" name="TextBox 20"/>
                      <a:cNvSpPr txBox="1"/>
                    </a:nvSpPr>
                    <a:spPr>
                      <a:xfrm>
                        <a:off x="214282" y="5786453"/>
                        <a:ext cx="2199189" cy="5847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s-E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ES_tradnl" sz="3200" b="1" dirty="0" smtClean="0"/>
                            <a:t>BANDEC</a:t>
                          </a:r>
                          <a:endParaRPr lang="es-ES_tradnl" sz="3200" b="1" dirty="0"/>
                        </a:p>
                      </a:txBody>
                      <a:useSpRect/>
                    </a:txSp>
                  </a:sp>
                  <a:pic>
                    <a:nvPicPr>
                      <a:cNvPr id="24" name="Picture 23"/>
                      <a:cNvPicPr>
                        <a:picLocks noChangeAspect="1"/>
                      </a:cNvPicPr>
                    </a:nvPicPr>
                    <a:blipFill>
                      <a:blip r:embed="rId6"/>
                      <a:stretch>
                        <a:fillRect/>
                      </a:stretch>
                    </a:blipFill>
                    <a:spPr>
                      <a:xfrm>
                        <a:off x="8143900" y="5143512"/>
                        <a:ext cx="806030" cy="780926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25" name="TextBox 24"/>
                      <a:cNvSpPr txBox="1"/>
                    </a:nvSpPr>
                    <a:spPr>
                      <a:xfrm>
                        <a:off x="7472966" y="6000768"/>
                        <a:ext cx="1671034" cy="5847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s-E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ES_tradnl" sz="3200" b="1" dirty="0"/>
                            <a:t>Clientes</a:t>
                          </a:r>
                          <a:endParaRPr lang="es-ES_tradnl" sz="1200" b="1" dirty="0"/>
                        </a:p>
                      </a:txBody>
                      <a:useSpRect/>
                    </a:txSp>
                  </a:sp>
                  <a:pic>
                    <a:nvPicPr>
                      <a:cNvPr id="36" name="Picture 13"/>
                      <a:cNvPicPr>
                        <a:picLocks noChangeAspect="1"/>
                      </a:cNvPicPr>
                    </a:nvPicPr>
                    <a:blipFill>
                      <a:blip r:embed="rId7"/>
                      <a:stretch>
                        <a:fillRect/>
                      </a:stretch>
                    </a:blipFill>
                    <a:spPr>
                      <a:xfrm>
                        <a:off x="7358082" y="2285992"/>
                        <a:ext cx="950259" cy="1336815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37" name="Picture 19"/>
                      <a:cNvPicPr>
                        <a:picLocks noChangeAspect="1"/>
                      </a:cNvPicPr>
                    </a:nvPicPr>
                    <a:blipFill>
                      <a:blip r:embed="rId6"/>
                      <a:stretch>
                        <a:fillRect/>
                      </a:stretch>
                    </a:blipFill>
                    <a:spPr>
                      <a:xfrm>
                        <a:off x="2143108" y="4951357"/>
                        <a:ext cx="806030" cy="780926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38" name="Isosceles Triangle 4"/>
                      <a:cNvSpPr/>
                    </a:nvSpPr>
                    <a:spPr>
                      <a:xfrm rot="8585639">
                        <a:off x="1825182" y="3232816"/>
                        <a:ext cx="649562" cy="1900763"/>
                      </a:xfrm>
                      <a:prstGeom prst="triangle">
                        <a:avLst/>
                      </a:prstGeom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s-E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s-ES_tradnl" sz="1350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pic>
                    <a:nvPicPr>
                      <a:cNvPr id="40" name="Picture 10"/>
                      <a:cNvPicPr>
                        <a:picLocks noChangeAspect="1"/>
                      </a:cNvPicPr>
                    </a:nvPicPr>
                    <a:blipFill>
                      <a:blip r:embed="rId7"/>
                      <a:stretch>
                        <a:fillRect/>
                      </a:stretch>
                    </a:blipFill>
                    <a:spPr>
                      <a:xfrm>
                        <a:off x="1142976" y="2143115"/>
                        <a:ext cx="950259" cy="1336815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31" name="30 Rectángulo"/>
                      <a:cNvSpPr/>
                    </a:nvSpPr>
                    <a:spPr>
                      <a:xfrm>
                        <a:off x="2786050" y="2786058"/>
                        <a:ext cx="4357718" cy="23083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a:spPr>
                    <a:txSp>
                      <a:txBody>
                        <a:bodyPr wrap="square" lIns="91440" tIns="45720" rIns="91440" bIns="45720">
                          <a:spAutoFit/>
                        </a:bodyPr>
                        <a:lstStyle>
                          <a:defPPr>
                            <a:defRPr lang="es-E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ES_tradnl" sz="7200" b="1" dirty="0" smtClean="0">
                              <a:ln w="1905"/>
                              <a:gradFill>
                                <a:gsLst>
                                  <a:gs pos="0">
                                    <a:schemeClr val="accent6">
                                      <a:shade val="20000"/>
                                      <a:satMod val="200000"/>
                                    </a:schemeClr>
                                  </a:gs>
                                  <a:gs pos="78000">
                                    <a:schemeClr val="accent6">
                                      <a:tint val="90000"/>
                                      <a:shade val="89000"/>
                                      <a:satMod val="220000"/>
                                    </a:schemeClr>
                                  </a:gs>
                                  <a:gs pos="100000">
                                    <a:schemeClr val="accent6">
                                      <a:tint val="12000"/>
                                      <a:satMod val="255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innerShdw blurRad="69850" dist="43180" dir="5400000">
                                  <a:srgbClr val="000000">
                                    <a:alpha val="65000"/>
                                  </a:srgbClr>
                                </a:innerShdw>
                              </a:effectLst>
                              <a:latin typeface="Bauhaus 93" pitchFamily="82" charset="0"/>
                            </a:rPr>
                            <a:t>VIRTUAL </a:t>
                          </a:r>
                        </a:p>
                        <a:p>
                          <a:pPr algn="ctr"/>
                          <a:r>
                            <a:rPr lang="es-ES_tradnl" sz="7200" b="1" dirty="0" smtClean="0">
                              <a:ln w="1905"/>
                              <a:gradFill>
                                <a:gsLst>
                                  <a:gs pos="0">
                                    <a:schemeClr val="accent6">
                                      <a:shade val="20000"/>
                                      <a:satMod val="200000"/>
                                    </a:schemeClr>
                                  </a:gs>
                                  <a:gs pos="78000">
                                    <a:schemeClr val="accent6">
                                      <a:tint val="90000"/>
                                      <a:shade val="89000"/>
                                      <a:satMod val="220000"/>
                                    </a:schemeClr>
                                  </a:gs>
                                  <a:gs pos="100000">
                                    <a:schemeClr val="accent6">
                                      <a:tint val="12000"/>
                                      <a:satMod val="255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innerShdw blurRad="69850" dist="43180" dir="5400000">
                                  <a:srgbClr val="000000">
                                    <a:alpha val="65000"/>
                                  </a:srgbClr>
                                </a:innerShdw>
                              </a:effectLst>
                              <a:latin typeface="Bauhaus 93" pitchFamily="82" charset="0"/>
                            </a:rPr>
                            <a:t>BANDEC</a:t>
                          </a:r>
                          <a:endParaRPr lang="es-ES_tradnl" sz="7200" b="1" dirty="0">
                            <a:ln w="1905"/>
                            <a:gradFill>
                              <a:gsLst>
                                <a:gs pos="0">
                                  <a:schemeClr val="accent6">
                                    <a:shade val="20000"/>
                                    <a:satMod val="200000"/>
                                  </a:schemeClr>
                                </a:gs>
                                <a:gs pos="78000">
                                  <a:schemeClr val="accent6">
                                    <a:tint val="90000"/>
                                    <a:shade val="89000"/>
                                    <a:satMod val="220000"/>
                                  </a:schemeClr>
                                </a:gs>
                                <a:gs pos="100000">
                                  <a:schemeClr val="accent6">
                                    <a:tint val="12000"/>
                                    <a:satMod val="255000"/>
                                  </a:schemeClr>
                                </a:gs>
                              </a:gsLst>
                              <a:lin ang="5400000"/>
                            </a:gradFill>
                            <a:effectLst>
                              <a:innerShdw blurRad="69850" dist="43180" dir="5400000">
                                <a:srgbClr val="000000">
                                  <a:alpha val="65000"/>
                                </a:srgbClr>
                              </a:innerShdw>
                            </a:effectLst>
                            <a:latin typeface="Bauhaus 93" pitchFamily="82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A941F0" w:rsidRPr="00A941F0" w:rsidRDefault="00A941F0" w:rsidP="00A941F0">
      <w:pPr>
        <w:ind w:left="360"/>
        <w:jc w:val="both"/>
      </w:pPr>
    </w:p>
    <w:p w:rsidR="006C5266" w:rsidRPr="004640F7" w:rsidRDefault="005A7D93" w:rsidP="007A1FD0">
      <w:pPr>
        <w:jc w:val="both"/>
      </w:pPr>
      <w:r w:rsidRPr="004640F7">
        <w:rPr>
          <w:rFonts w:ascii="Lucida Handwriting" w:hAnsi="Lucida Handwriting"/>
        </w:rPr>
        <w:t xml:space="preserve">Virtual  </w:t>
      </w:r>
      <w:proofErr w:type="spellStart"/>
      <w:r w:rsidRPr="004640F7">
        <w:rPr>
          <w:rFonts w:ascii="Lucida Handwriting" w:hAnsi="Lucida Handwriting"/>
        </w:rPr>
        <w:t>Bandec</w:t>
      </w:r>
      <w:proofErr w:type="spellEnd"/>
      <w:r w:rsidRPr="004640F7">
        <w:rPr>
          <w:rFonts w:ascii="Lucida Handwriting" w:hAnsi="Lucida Handwriting"/>
        </w:rPr>
        <w:t xml:space="preserve"> </w:t>
      </w:r>
      <w:r>
        <w:t xml:space="preserve"> es una herramienta que permite a los clientes </w:t>
      </w:r>
      <w:r w:rsidR="004640F7">
        <w:t xml:space="preserve"> o</w:t>
      </w:r>
      <w:r>
        <w:t xml:space="preserve">perar  sus cuentas y contratar otros servicios desde su oficina o su vivienda las 24 horas del día, con la ventaja de no tener </w:t>
      </w:r>
      <w:r w:rsidR="004640F7">
        <w:t>q</w:t>
      </w:r>
      <w:r>
        <w:t>ue acudir al banco</w:t>
      </w:r>
      <w:r w:rsidR="004640F7">
        <w:t>, es un s</w:t>
      </w:r>
      <w:r w:rsidR="00A941F0" w:rsidRPr="004640F7">
        <w:t xml:space="preserve">istema informatizado para la ejecución en línea de operaciones contables por parte de los clientes sobre sus cuentas bancarias. </w:t>
      </w:r>
    </w:p>
    <w:p w:rsidR="005A7D93" w:rsidRDefault="005A7D93" w:rsidP="005A7D93">
      <w:r>
        <w:t xml:space="preserve">El cliente podrá realizar las siguientes operaciones: </w:t>
      </w:r>
    </w:p>
    <w:p w:rsidR="005A7D93" w:rsidRDefault="005A7D93" w:rsidP="004640F7">
      <w:pPr>
        <w:pStyle w:val="Prrafodelista"/>
        <w:numPr>
          <w:ilvl w:val="0"/>
          <w:numId w:val="1"/>
        </w:numPr>
      </w:pPr>
      <w:r>
        <w:t xml:space="preserve">Consulta de estado de cuenta. </w:t>
      </w:r>
    </w:p>
    <w:p w:rsidR="005A7D93" w:rsidRDefault="005A7D93" w:rsidP="004640F7">
      <w:pPr>
        <w:pStyle w:val="Prrafodelista"/>
        <w:numPr>
          <w:ilvl w:val="0"/>
          <w:numId w:val="1"/>
        </w:numPr>
      </w:pPr>
      <w:r>
        <w:t xml:space="preserve">Consulta de disponibilidad de fondos. </w:t>
      </w:r>
    </w:p>
    <w:p w:rsidR="005A7D93" w:rsidRDefault="005A7D93" w:rsidP="004640F7">
      <w:pPr>
        <w:pStyle w:val="Prrafodelista"/>
        <w:numPr>
          <w:ilvl w:val="0"/>
          <w:numId w:val="1"/>
        </w:numPr>
      </w:pPr>
      <w:r>
        <w:t>Pagar sus impuestos (</w:t>
      </w:r>
      <w:r w:rsidR="004640F7">
        <w:t xml:space="preserve">Ingresos al Presupuesto  - </w:t>
      </w:r>
      <w:r>
        <w:t xml:space="preserve">ONAT). </w:t>
      </w:r>
    </w:p>
    <w:p w:rsidR="005A7D93" w:rsidRDefault="005A7D93" w:rsidP="004640F7">
      <w:pPr>
        <w:pStyle w:val="Prrafodelista"/>
        <w:numPr>
          <w:ilvl w:val="0"/>
          <w:numId w:val="1"/>
        </w:numPr>
      </w:pPr>
      <w:r>
        <w:t xml:space="preserve">Efectuar transferencia de fondos. </w:t>
      </w:r>
    </w:p>
    <w:p w:rsidR="005A7D93" w:rsidRDefault="005A7D93" w:rsidP="004640F7">
      <w:pPr>
        <w:pStyle w:val="Prrafodelista"/>
        <w:numPr>
          <w:ilvl w:val="0"/>
          <w:numId w:val="1"/>
        </w:numPr>
      </w:pPr>
      <w:r>
        <w:t xml:space="preserve">Consulta de los movimientos de la cuenta en un día. </w:t>
      </w:r>
    </w:p>
    <w:p w:rsidR="005A7D93" w:rsidRDefault="005A7D93" w:rsidP="004640F7">
      <w:pPr>
        <w:pStyle w:val="Prrafodelista"/>
        <w:numPr>
          <w:ilvl w:val="0"/>
          <w:numId w:val="1"/>
        </w:numPr>
      </w:pPr>
      <w:r>
        <w:t xml:space="preserve">Recuperar comprobante. </w:t>
      </w:r>
    </w:p>
    <w:p w:rsidR="005A7D93" w:rsidRDefault="005A7D93" w:rsidP="004640F7">
      <w:pPr>
        <w:pStyle w:val="Prrafodelista"/>
        <w:numPr>
          <w:ilvl w:val="0"/>
          <w:numId w:val="1"/>
        </w:numPr>
      </w:pPr>
      <w:r>
        <w:t xml:space="preserve">Solicitud de chequera. </w:t>
      </w:r>
    </w:p>
    <w:p w:rsidR="005A7D93" w:rsidRDefault="005A7D93" w:rsidP="004640F7">
      <w:pPr>
        <w:pStyle w:val="Prrafodelista"/>
        <w:numPr>
          <w:ilvl w:val="0"/>
          <w:numId w:val="1"/>
        </w:numPr>
      </w:pPr>
      <w:r>
        <w:t xml:space="preserve">Transferencias múltiples. </w:t>
      </w:r>
    </w:p>
    <w:p w:rsidR="007A1FD0" w:rsidRDefault="007A1FD0" w:rsidP="005A7D93"/>
    <w:p w:rsidR="005A7D93" w:rsidRDefault="005A7D93" w:rsidP="005A7D93">
      <w:r>
        <w:lastRenderedPageBreak/>
        <w:t xml:space="preserve">Ventajas: </w:t>
      </w:r>
    </w:p>
    <w:p w:rsidR="005A7D93" w:rsidRDefault="005A7D93" w:rsidP="004640F7">
      <w:pPr>
        <w:ind w:left="426"/>
      </w:pPr>
      <w:r>
        <w:t xml:space="preserve">•Fácil Acceso </w:t>
      </w:r>
    </w:p>
    <w:p w:rsidR="005A7D93" w:rsidRDefault="005A7D93" w:rsidP="004640F7">
      <w:pPr>
        <w:ind w:left="426"/>
      </w:pPr>
      <w:r>
        <w:t xml:space="preserve">•Inmediatez </w:t>
      </w:r>
    </w:p>
    <w:p w:rsidR="005A7D93" w:rsidRDefault="005A7D93" w:rsidP="004640F7">
      <w:pPr>
        <w:ind w:left="426"/>
      </w:pPr>
      <w:r>
        <w:t xml:space="preserve">•Confiabilidad </w:t>
      </w:r>
    </w:p>
    <w:p w:rsidR="005A7D93" w:rsidRDefault="005A7D93" w:rsidP="004640F7">
      <w:pPr>
        <w:ind w:left="426"/>
      </w:pPr>
      <w:r>
        <w:t xml:space="preserve">•Seguridad </w:t>
      </w:r>
    </w:p>
    <w:p w:rsidR="00A941F0" w:rsidRDefault="00A941F0" w:rsidP="004640F7"/>
    <w:p w:rsidR="004640F7" w:rsidRDefault="004640F7" w:rsidP="004640F7">
      <w:r>
        <w:t>A este servicio pueden acceder todo tipo de clientes:</w:t>
      </w:r>
    </w:p>
    <w:p w:rsidR="006C5266" w:rsidRPr="004640F7" w:rsidRDefault="00A941F0" w:rsidP="004640F7">
      <w:pPr>
        <w:numPr>
          <w:ilvl w:val="1"/>
          <w:numId w:val="3"/>
        </w:numPr>
        <w:tabs>
          <w:tab w:val="clear" w:pos="1440"/>
          <w:tab w:val="num" w:pos="567"/>
        </w:tabs>
        <w:ind w:hanging="1014"/>
      </w:pPr>
      <w:r w:rsidRPr="004640F7">
        <w:t>Entidades jurídicas y financieras</w:t>
      </w:r>
    </w:p>
    <w:p w:rsidR="006C5266" w:rsidRPr="004640F7" w:rsidRDefault="00A941F0" w:rsidP="004640F7">
      <w:pPr>
        <w:numPr>
          <w:ilvl w:val="1"/>
          <w:numId w:val="3"/>
        </w:numPr>
        <w:tabs>
          <w:tab w:val="clear" w:pos="1440"/>
          <w:tab w:val="num" w:pos="567"/>
        </w:tabs>
        <w:ind w:hanging="1014"/>
      </w:pPr>
      <w:r w:rsidRPr="004640F7">
        <w:t>Personas naturales</w:t>
      </w:r>
    </w:p>
    <w:p w:rsidR="006C5266" w:rsidRDefault="00A941F0" w:rsidP="004640F7">
      <w:pPr>
        <w:numPr>
          <w:ilvl w:val="1"/>
          <w:numId w:val="3"/>
        </w:numPr>
        <w:tabs>
          <w:tab w:val="clear" w:pos="1440"/>
          <w:tab w:val="num" w:pos="567"/>
        </w:tabs>
        <w:ind w:hanging="1014"/>
      </w:pPr>
      <w:r w:rsidRPr="004640F7">
        <w:t>Clientes trabajadores por cuenta propia</w:t>
      </w:r>
    </w:p>
    <w:p w:rsidR="004640F7" w:rsidRDefault="004640F7" w:rsidP="00707A30">
      <w:pPr>
        <w:jc w:val="both"/>
      </w:pPr>
      <w:r>
        <w:t xml:space="preserve">Para ello solo tienen que </w:t>
      </w:r>
      <w:r w:rsidR="008B1229">
        <w:t>tener una conexión Web la que obtendrá a través de ETECSA, si es que su entidad no tiene contratado ya este servicio.</w:t>
      </w:r>
      <w:r w:rsidR="00707A30">
        <w:t xml:space="preserve"> La dirección de la página a que debe acceder les será comunicada en nuestra oficina al solicitar el servicio.</w:t>
      </w:r>
    </w:p>
    <w:p w:rsidR="008B1229" w:rsidRDefault="008B1229" w:rsidP="00707A30">
      <w:pPr>
        <w:jc w:val="both"/>
        <w:rPr>
          <w:rFonts w:ascii="Lucida Handwriting" w:hAnsi="Lucida Handwriting"/>
        </w:rPr>
      </w:pPr>
      <w:r>
        <w:t>Visítenos e infórmese de este nuevo y novedoso servicio que le permitirá acceder a su cuenta según su Rol desde cualquier parte del país y durante las 24 horas del día.</w:t>
      </w:r>
      <w:r w:rsidRPr="008B1229">
        <w:rPr>
          <w:rFonts w:ascii="Lucida Handwriting" w:hAnsi="Lucida Handwriting"/>
        </w:rPr>
        <w:t xml:space="preserve"> </w:t>
      </w:r>
    </w:p>
    <w:p w:rsidR="008B1229" w:rsidRDefault="008B1229" w:rsidP="00707A30">
      <w:pPr>
        <w:jc w:val="both"/>
      </w:pPr>
      <w:r w:rsidRPr="004640F7">
        <w:rPr>
          <w:rFonts w:ascii="Lucida Handwriting" w:hAnsi="Lucida Handwriting"/>
        </w:rPr>
        <w:t xml:space="preserve">Virtual  </w:t>
      </w:r>
      <w:proofErr w:type="spellStart"/>
      <w:r w:rsidRPr="004640F7">
        <w:rPr>
          <w:rFonts w:ascii="Lucida Handwriting" w:hAnsi="Lucida Handwriting"/>
        </w:rPr>
        <w:t>Bandec</w:t>
      </w:r>
      <w:proofErr w:type="spellEnd"/>
      <w:r>
        <w:t xml:space="preserve">  es la solución ideal, en materia de operaciones  e informaciones bancarias,  porque optimiza su tiempo.</w:t>
      </w:r>
    </w:p>
    <w:p w:rsidR="007A1FD0" w:rsidRDefault="00083253" w:rsidP="00083253">
      <w:pPr>
        <w:jc w:val="center"/>
        <w:rPr>
          <w:rFonts w:ascii="Algerian" w:hAnsi="Algerian"/>
          <w:sz w:val="52"/>
          <w:szCs w:val="52"/>
        </w:rPr>
      </w:pPr>
      <w:r w:rsidRPr="00083253">
        <w:rPr>
          <w:rFonts w:ascii="Algerian" w:hAnsi="Algerian"/>
          <w:sz w:val="52"/>
          <w:szCs w:val="52"/>
        </w:rPr>
        <w:t>Esperamos por usted</w:t>
      </w:r>
    </w:p>
    <w:p w:rsidR="00C80BF1" w:rsidRDefault="00C80BF1" w:rsidP="00083253">
      <w:pPr>
        <w:jc w:val="center"/>
        <w:rPr>
          <w:rFonts w:ascii="Algerian" w:hAnsi="Algerian"/>
          <w:sz w:val="52"/>
          <w:szCs w:val="52"/>
        </w:rPr>
      </w:pPr>
    </w:p>
    <w:p w:rsidR="00C018D7" w:rsidRDefault="00C018D7" w:rsidP="00083253">
      <w:pPr>
        <w:jc w:val="center"/>
        <w:rPr>
          <w:rFonts w:ascii="Algerian" w:hAnsi="Algerian"/>
          <w:sz w:val="52"/>
          <w:szCs w:val="52"/>
        </w:rPr>
      </w:pPr>
      <w:r>
        <w:rPr>
          <w:rFonts w:ascii="Algerian" w:hAnsi="Algerian"/>
          <w:noProof/>
          <w:sz w:val="52"/>
          <w:szCs w:val="52"/>
          <w:lang w:eastAsia="es-ES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596265</wp:posOffset>
            </wp:positionV>
            <wp:extent cx="2225040" cy="1454150"/>
            <wp:effectExtent l="19050" t="0" r="3810" b="0"/>
            <wp:wrapThrough wrapText="bothSides">
              <wp:wrapPolygon edited="0">
                <wp:start x="-185" y="0"/>
                <wp:lineTo x="-185" y="21223"/>
                <wp:lineTo x="21637" y="21223"/>
                <wp:lineTo x="21637" y="0"/>
                <wp:lineTo x="-185" y="0"/>
              </wp:wrapPolygon>
            </wp:wrapThrough>
            <wp:docPr id="2" name="Imagen 1" descr="http://centralweb/images/bande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centralweb/images/bandec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45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18D7" w:rsidRDefault="00C018D7" w:rsidP="00083253">
      <w:pPr>
        <w:jc w:val="center"/>
        <w:rPr>
          <w:rFonts w:ascii="Algerian" w:hAnsi="Algerian"/>
          <w:sz w:val="52"/>
          <w:szCs w:val="52"/>
        </w:rPr>
      </w:pPr>
    </w:p>
    <w:p w:rsidR="00C018D7" w:rsidRDefault="00C018D7" w:rsidP="00083253">
      <w:pPr>
        <w:jc w:val="center"/>
        <w:rPr>
          <w:rFonts w:ascii="Algerian" w:hAnsi="Algerian"/>
          <w:sz w:val="52"/>
          <w:szCs w:val="52"/>
        </w:rPr>
      </w:pPr>
    </w:p>
    <w:p w:rsidR="00C018D7" w:rsidRDefault="00C018D7" w:rsidP="00083253">
      <w:pPr>
        <w:jc w:val="center"/>
        <w:rPr>
          <w:rFonts w:ascii="Algerian" w:hAnsi="Algerian"/>
          <w:sz w:val="52"/>
          <w:szCs w:val="52"/>
        </w:rPr>
      </w:pPr>
    </w:p>
    <w:p w:rsidR="00C018D7" w:rsidRDefault="00C018D7" w:rsidP="00083253">
      <w:pPr>
        <w:jc w:val="center"/>
        <w:rPr>
          <w:rFonts w:ascii="Algerian" w:hAnsi="Algerian"/>
          <w:sz w:val="52"/>
          <w:szCs w:val="52"/>
        </w:rPr>
      </w:pPr>
    </w:p>
    <w:p w:rsidR="00C018D7" w:rsidRDefault="00C018D7" w:rsidP="00083253">
      <w:pPr>
        <w:jc w:val="center"/>
        <w:rPr>
          <w:rFonts w:ascii="Algerian" w:hAnsi="Algerian"/>
          <w:sz w:val="52"/>
          <w:szCs w:val="52"/>
        </w:rPr>
      </w:pPr>
    </w:p>
    <w:p w:rsidR="00C80BF1" w:rsidRDefault="00C80BF1" w:rsidP="00083253">
      <w:pPr>
        <w:jc w:val="center"/>
        <w:rPr>
          <w:rFonts w:ascii="Algerian" w:hAnsi="Algerian"/>
          <w:sz w:val="52"/>
          <w:szCs w:val="52"/>
        </w:rPr>
      </w:pPr>
    </w:p>
    <w:p w:rsidR="00C018D7" w:rsidRDefault="00C018D7" w:rsidP="00083253">
      <w:pPr>
        <w:jc w:val="center"/>
        <w:rPr>
          <w:rFonts w:ascii="Algerian" w:hAnsi="Algerian"/>
          <w:sz w:val="52"/>
          <w:szCs w:val="52"/>
        </w:rPr>
      </w:pPr>
    </w:p>
    <w:p w:rsidR="00C018D7" w:rsidRDefault="00C018D7" w:rsidP="00083253">
      <w:pPr>
        <w:jc w:val="center"/>
        <w:rPr>
          <w:rFonts w:ascii="Algerian" w:hAnsi="Algerian"/>
          <w:sz w:val="52"/>
          <w:szCs w:val="52"/>
        </w:rPr>
      </w:pPr>
    </w:p>
    <w:p w:rsidR="00C018D7" w:rsidRDefault="00C018D7" w:rsidP="00083253">
      <w:pPr>
        <w:jc w:val="center"/>
        <w:rPr>
          <w:rFonts w:ascii="Algerian" w:hAnsi="Algerian"/>
          <w:sz w:val="52"/>
          <w:szCs w:val="52"/>
        </w:rPr>
      </w:pPr>
    </w:p>
    <w:p w:rsidR="00C018D7" w:rsidRDefault="00C018D7" w:rsidP="00083253">
      <w:pPr>
        <w:jc w:val="center"/>
        <w:rPr>
          <w:rFonts w:ascii="Algerian" w:hAnsi="Algerian"/>
          <w:sz w:val="52"/>
          <w:szCs w:val="52"/>
        </w:rPr>
      </w:pPr>
    </w:p>
    <w:p w:rsidR="00C018D7" w:rsidRDefault="00C018D7" w:rsidP="00083253">
      <w:pPr>
        <w:jc w:val="center"/>
        <w:rPr>
          <w:rFonts w:ascii="Algerian" w:hAnsi="Algerian"/>
          <w:sz w:val="52"/>
          <w:szCs w:val="52"/>
        </w:rPr>
      </w:pPr>
    </w:p>
    <w:p w:rsidR="00C018D7" w:rsidRDefault="00C018D7" w:rsidP="00083253">
      <w:pPr>
        <w:jc w:val="center"/>
        <w:rPr>
          <w:rFonts w:ascii="Algerian" w:hAnsi="Algerian"/>
          <w:sz w:val="52"/>
          <w:szCs w:val="52"/>
        </w:rPr>
      </w:pPr>
    </w:p>
    <w:p w:rsidR="00C018D7" w:rsidRDefault="00C018D7" w:rsidP="00083253">
      <w:pPr>
        <w:jc w:val="center"/>
        <w:rPr>
          <w:rFonts w:ascii="Algerian" w:hAnsi="Algerian"/>
          <w:sz w:val="52"/>
          <w:szCs w:val="52"/>
        </w:rPr>
      </w:pPr>
    </w:p>
    <w:p w:rsidR="00C018D7" w:rsidRDefault="00C018D7" w:rsidP="00083253">
      <w:pPr>
        <w:jc w:val="center"/>
        <w:rPr>
          <w:rFonts w:ascii="Algerian" w:hAnsi="Algerian"/>
          <w:sz w:val="52"/>
          <w:szCs w:val="52"/>
        </w:rPr>
      </w:pPr>
    </w:p>
    <w:p w:rsidR="00C018D7" w:rsidRPr="00C018D7" w:rsidRDefault="00C018D7" w:rsidP="00083253">
      <w:pPr>
        <w:jc w:val="center"/>
        <w:rPr>
          <w:rFonts w:ascii="Algerian" w:hAnsi="Algerian"/>
          <w:sz w:val="28"/>
          <w:szCs w:val="28"/>
        </w:rPr>
      </w:pPr>
    </w:p>
    <w:p w:rsidR="00C018D7" w:rsidRDefault="00C018D7" w:rsidP="00083253">
      <w:pPr>
        <w:jc w:val="center"/>
        <w:rPr>
          <w:rFonts w:ascii="Algerian" w:hAnsi="Algerian"/>
          <w:sz w:val="52"/>
          <w:szCs w:val="52"/>
        </w:rPr>
      </w:pPr>
    </w:p>
    <w:p w:rsidR="00C018D7" w:rsidRPr="00C018D7" w:rsidRDefault="00C018D7" w:rsidP="00C018D7">
      <w:pPr>
        <w:jc w:val="center"/>
        <w:rPr>
          <w:rFonts w:ascii="Forte" w:hAnsi="Forte"/>
          <w:sz w:val="72"/>
          <w:szCs w:val="72"/>
        </w:rPr>
      </w:pPr>
      <w:r w:rsidRPr="00C018D7">
        <w:rPr>
          <w:rFonts w:ascii="Forte" w:hAnsi="Forte"/>
          <w:sz w:val="72"/>
          <w:szCs w:val="72"/>
        </w:rPr>
        <w:t>Un banco que ofrece sus servicios pensando en Usted.</w:t>
      </w:r>
    </w:p>
    <w:sectPr w:rsidR="00C018D7" w:rsidRPr="00C018D7" w:rsidSect="007A1FD0">
      <w:pgSz w:w="11906" w:h="16838"/>
      <w:pgMar w:top="1417" w:right="1416" w:bottom="1417" w:left="1701" w:header="708" w:footer="708" w:gutter="0"/>
      <w:cols w:num="2" w:space="170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07A50"/>
    <w:multiLevelType w:val="hybridMultilevel"/>
    <w:tmpl w:val="4A562148"/>
    <w:lvl w:ilvl="0" w:tplc="39B2B0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1E80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402A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9CFE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C257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C8B5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E60A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827B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8E19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440B01"/>
    <w:multiLevelType w:val="hybridMultilevel"/>
    <w:tmpl w:val="A0A0C60E"/>
    <w:lvl w:ilvl="0" w:tplc="96466C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3C48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AA3C4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FE1B7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B205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7E050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C6D18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C4D9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A897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7F6324"/>
    <w:multiLevelType w:val="hybridMultilevel"/>
    <w:tmpl w:val="309E885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hyphenationZone w:val="425"/>
  <w:characterSpacingControl w:val="doNotCompress"/>
  <w:compat/>
  <w:rsids>
    <w:rsidRoot w:val="005A7D93"/>
    <w:rsid w:val="00070ADF"/>
    <w:rsid w:val="00083253"/>
    <w:rsid w:val="003E06C3"/>
    <w:rsid w:val="004522B9"/>
    <w:rsid w:val="004640F7"/>
    <w:rsid w:val="005A7D93"/>
    <w:rsid w:val="005D5689"/>
    <w:rsid w:val="00697CB3"/>
    <w:rsid w:val="006B667B"/>
    <w:rsid w:val="006C5266"/>
    <w:rsid w:val="00707A30"/>
    <w:rsid w:val="007A1FD0"/>
    <w:rsid w:val="00801CB6"/>
    <w:rsid w:val="0083375F"/>
    <w:rsid w:val="008B1229"/>
    <w:rsid w:val="00940860"/>
    <w:rsid w:val="00A941F0"/>
    <w:rsid w:val="00C018D7"/>
    <w:rsid w:val="00C5577C"/>
    <w:rsid w:val="00C80BF1"/>
    <w:rsid w:val="00F0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7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40F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4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0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5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08513">
          <w:marLeft w:val="1166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5534">
          <w:marLeft w:val="1166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4546">
          <w:marLeft w:val="1166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5883">
          <w:marLeft w:val="547"/>
          <w:marRight w:val="0"/>
          <w:marTop w:val="259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centralweb/images/bandec1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Dania</dc:creator>
  <cp:lastModifiedBy>Dania</cp:lastModifiedBy>
  <cp:revision>2</cp:revision>
  <cp:lastPrinted>2016-02-25T17:25:00Z</cp:lastPrinted>
  <dcterms:created xsi:type="dcterms:W3CDTF">2016-02-25T17:27:00Z</dcterms:created>
  <dcterms:modified xsi:type="dcterms:W3CDTF">2016-02-25T17:27:00Z</dcterms:modified>
</cp:coreProperties>
</file>